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EA6D04" w:rsidRPr="00EA6D04" w:rsidRDefault="00EA6D04" w:rsidP="00EA6D04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Проекта </w:t>
      </w:r>
      <w:r w:rsidRPr="00EA6D04">
        <w:rPr>
          <w:rFonts w:ascii="Times New Roman" w:eastAsia="SimSun" w:hAnsi="Times New Roman"/>
          <w:sz w:val="28"/>
          <w:szCs w:val="28"/>
          <w:lang w:eastAsia="zh-CN" w:bidi="hi-IN"/>
        </w:rPr>
        <w:t>постановления Администрации города Тобольска «Об утверждении схемы размещения сезонных аттракционов на земельных участках, сооружениях, находящихся в муниципальной собственности города Тобольска».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EA6D04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7E11D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1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апреля</w:t>
      </w:r>
      <w:bookmarkStart w:id="0" w:name="_GoBack"/>
      <w:bookmarkEnd w:id="0"/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Екатерина Страшевская</cp:lastModifiedBy>
  <cp:revision>16</cp:revision>
  <dcterms:created xsi:type="dcterms:W3CDTF">2017-12-21T11:04:00Z</dcterms:created>
  <dcterms:modified xsi:type="dcterms:W3CDTF">2020-03-31T09:12:00Z</dcterms:modified>
</cp:coreProperties>
</file>