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78" w:rsidRDefault="00073A78">
      <w:pPr>
        <w:pStyle w:val="ConsPlusTitle"/>
        <w:jc w:val="center"/>
        <w:outlineLvl w:val="0"/>
      </w:pPr>
      <w:r>
        <w:t>ТОБОЛЬСКАЯ ГОРОДСКАЯ ДУМА</w:t>
      </w:r>
    </w:p>
    <w:p w:rsidR="00073A78" w:rsidRDefault="00073A78">
      <w:pPr>
        <w:pStyle w:val="ConsPlusTitle"/>
        <w:jc w:val="center"/>
      </w:pPr>
    </w:p>
    <w:p w:rsidR="00073A78" w:rsidRDefault="00073A78">
      <w:pPr>
        <w:pStyle w:val="ConsPlusTitle"/>
        <w:jc w:val="center"/>
      </w:pPr>
      <w:r>
        <w:t>РЕШЕНИЕ</w:t>
      </w:r>
    </w:p>
    <w:p w:rsidR="00073A78" w:rsidRDefault="00073A78">
      <w:pPr>
        <w:pStyle w:val="ConsPlusTitle"/>
        <w:jc w:val="center"/>
      </w:pPr>
      <w:r>
        <w:t>от 28 апреля 2016 г. N 68</w:t>
      </w:r>
    </w:p>
    <w:p w:rsidR="00073A78" w:rsidRDefault="00073A78">
      <w:pPr>
        <w:pStyle w:val="ConsPlusTitle"/>
        <w:jc w:val="center"/>
      </w:pPr>
    </w:p>
    <w:p w:rsidR="00073A78" w:rsidRDefault="00073A78">
      <w:pPr>
        <w:pStyle w:val="ConsPlusTitle"/>
        <w:jc w:val="center"/>
      </w:pPr>
      <w:r>
        <w:t>О МЕСТНЫХ НОРМАТИВАХ ГРАДОСТРОИТЕЛЬНОГО ПРОЕКТИРОВАНИЯ</w:t>
      </w:r>
    </w:p>
    <w:p w:rsidR="00073A78" w:rsidRDefault="00073A78">
      <w:pPr>
        <w:pStyle w:val="ConsPlusTitle"/>
        <w:jc w:val="center"/>
      </w:pPr>
      <w:r>
        <w:t>МУНИЦИПАЛЬНОГО ОБРАЗОВАНИЯ ГОРОДСКОЙ ОКРУГ ГОРОД ТОБОЛЬСК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center"/>
      </w:pPr>
      <w:r>
        <w:t>(Принято городской Думой 27 апреля 2016 года)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ind w:firstLine="540"/>
        <w:jc w:val="both"/>
      </w:pPr>
      <w:r>
        <w:t xml:space="preserve">С целью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территории), а также соблюдения иных параметров градостроительного развития территории, в соответствии с Градостроительным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 от 29.12.2004 N 190-ФЗ,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 w:history="1">
        <w:r>
          <w:rPr>
            <w:color w:val="0000FF"/>
          </w:rPr>
          <w:t>статьями 24</w:t>
        </w:r>
      </w:hyperlink>
      <w:r>
        <w:t xml:space="preserve">, </w:t>
      </w:r>
      <w:hyperlink r:id="rId7" w:history="1">
        <w:r>
          <w:rPr>
            <w:color w:val="0000FF"/>
          </w:rPr>
          <w:t>44</w:t>
        </w:r>
      </w:hyperlink>
      <w:r>
        <w:t xml:space="preserve"> Устава города Тобольска, городская Дума решила: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1. Утвердить Местные </w:t>
      </w:r>
      <w:hyperlink w:anchor="P37" w:history="1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муниципального образования городской округ город Тобольск согласно приложению.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2. Администрации города Тобольска разместить Местные </w:t>
      </w:r>
      <w:hyperlink w:anchor="P37" w:history="1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муниципального образования городской округ город Тобольск в федеральной государственной информационной системе территориального планирования в течение пяти дней со дня принятия настоящего решения.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3. Настоящее решение вступает в силу с даты его опубликования.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4. Опубликовать настоящее решение в газете "Тобольская правда", разместить в информационно-телекоммуникационной сети "Интернет" на официальном сайте Тобольской городской Думы (www.dumatobolsk.ru) и администрации города Тобольска (www.admtobolsk.ru).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5. Контроль исполнения настоящего решения возложить на постоянную комиссию по градостроительству и землепользованию.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right"/>
      </w:pPr>
      <w:r>
        <w:t>Исполняющий обязанности</w:t>
      </w:r>
    </w:p>
    <w:p w:rsidR="00073A78" w:rsidRDefault="00073A78">
      <w:pPr>
        <w:pStyle w:val="ConsPlusNormal"/>
        <w:jc w:val="right"/>
      </w:pPr>
      <w:r>
        <w:t>Главы города</w:t>
      </w:r>
    </w:p>
    <w:p w:rsidR="00073A78" w:rsidRDefault="00073A78">
      <w:pPr>
        <w:pStyle w:val="ConsPlusNormal"/>
        <w:jc w:val="right"/>
      </w:pPr>
      <w:r>
        <w:t>Я.С.ЗУБОВА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right"/>
      </w:pPr>
      <w:r>
        <w:t>Председатель городской Думы</w:t>
      </w:r>
    </w:p>
    <w:p w:rsidR="00073A78" w:rsidRDefault="00073A78">
      <w:pPr>
        <w:pStyle w:val="ConsPlusNormal"/>
        <w:jc w:val="right"/>
      </w:pPr>
      <w:r>
        <w:t>А.А.ХОДОСЕВИЧ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right"/>
        <w:outlineLvl w:val="0"/>
      </w:pPr>
    </w:p>
    <w:p w:rsidR="00073A78" w:rsidRDefault="00073A78">
      <w:pPr>
        <w:pStyle w:val="ConsPlusNormal"/>
        <w:jc w:val="right"/>
        <w:outlineLvl w:val="0"/>
      </w:pPr>
    </w:p>
    <w:p w:rsidR="00073A78" w:rsidRDefault="00073A78">
      <w:pPr>
        <w:pStyle w:val="ConsPlusNormal"/>
        <w:jc w:val="right"/>
        <w:outlineLvl w:val="0"/>
      </w:pPr>
    </w:p>
    <w:p w:rsidR="00073A78" w:rsidRDefault="00073A78">
      <w:pPr>
        <w:pStyle w:val="ConsPlusNormal"/>
        <w:jc w:val="right"/>
        <w:outlineLvl w:val="0"/>
      </w:pPr>
    </w:p>
    <w:p w:rsidR="00073A78" w:rsidRDefault="00073A78">
      <w:pPr>
        <w:pStyle w:val="ConsPlusNormal"/>
        <w:jc w:val="right"/>
        <w:outlineLvl w:val="0"/>
      </w:pPr>
    </w:p>
    <w:p w:rsidR="00073A78" w:rsidRDefault="00073A78">
      <w:pPr>
        <w:pStyle w:val="ConsPlusNormal"/>
        <w:jc w:val="right"/>
        <w:outlineLvl w:val="0"/>
      </w:pPr>
    </w:p>
    <w:p w:rsidR="00073A78" w:rsidRDefault="00073A78">
      <w:pPr>
        <w:pStyle w:val="ConsPlusNormal"/>
        <w:jc w:val="right"/>
        <w:outlineLvl w:val="0"/>
      </w:pPr>
    </w:p>
    <w:p w:rsidR="00073A78" w:rsidRDefault="00073A78">
      <w:pPr>
        <w:pStyle w:val="ConsPlusNormal"/>
        <w:jc w:val="right"/>
        <w:outlineLvl w:val="0"/>
      </w:pPr>
    </w:p>
    <w:p w:rsidR="00073A78" w:rsidRDefault="00073A78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073A78" w:rsidRDefault="00073A78">
      <w:pPr>
        <w:pStyle w:val="ConsPlusNormal"/>
        <w:jc w:val="right"/>
      </w:pPr>
      <w:r>
        <w:t>к решению городской Думы</w:t>
      </w:r>
    </w:p>
    <w:p w:rsidR="00073A78" w:rsidRDefault="00073A78">
      <w:pPr>
        <w:pStyle w:val="ConsPlusNormal"/>
        <w:jc w:val="right"/>
      </w:pPr>
      <w:r>
        <w:t>от 28 апреля 2016 г. N 68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center"/>
      </w:pPr>
      <w:r>
        <w:t>ТЮМЕНСКАЯ ОБЛАСТЬ</w:t>
      </w:r>
    </w:p>
    <w:p w:rsidR="00073A78" w:rsidRDefault="00073A78">
      <w:pPr>
        <w:pStyle w:val="ConsPlusNormal"/>
        <w:jc w:val="center"/>
      </w:pPr>
      <w:r>
        <w:t>МУНИЦИПАЛЬНОЕ ОБРАЗОВАНИЕ</w:t>
      </w:r>
    </w:p>
    <w:p w:rsidR="00073A78" w:rsidRDefault="00073A78">
      <w:pPr>
        <w:pStyle w:val="ConsPlusNormal"/>
        <w:jc w:val="center"/>
      </w:pPr>
      <w:r>
        <w:t>ГОРОДСКОЙ ОКРУГ ГОРОД ТОБОЛЬСК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Title"/>
        <w:jc w:val="center"/>
      </w:pPr>
      <w:bookmarkStart w:id="1" w:name="P37"/>
      <w:bookmarkEnd w:id="1"/>
      <w:r>
        <w:t>МЕСТНЫЕ НОРМАТИВЫ</w:t>
      </w:r>
    </w:p>
    <w:p w:rsidR="00073A78" w:rsidRDefault="00073A78">
      <w:pPr>
        <w:pStyle w:val="ConsPlusTitle"/>
        <w:jc w:val="center"/>
      </w:pPr>
      <w:r>
        <w:t>ГРАДОСТРОИТЕЛЬНОГО ПРОЕКТИРОВАНИЯ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ind w:firstLine="540"/>
        <w:jc w:val="both"/>
      </w:pPr>
      <w:r>
        <w:t>1. В целях обеспечения благоприятных условий жизнедеятельности человека на территории города Тобольска настоящие Местные нормативы градостроительного проектирования города Тобольска (далее - Местные нормативы) устанавливают совокупность расчетных показателей: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минимально допустимого уровня обеспеченности объектами местного значения, указанными в </w:t>
      </w:r>
      <w:hyperlink r:id="rId8" w:history="1">
        <w:r>
          <w:rPr>
            <w:color w:val="0000FF"/>
          </w:rPr>
          <w:t>части 4 статьи 29.2</w:t>
        </w:r>
      </w:hyperlink>
      <w:r>
        <w:t xml:space="preserve"> Градостроительного кодекса Российской Федерации (далее - объекты местного значения),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максимально допустимого уровня территориальной доступности таких объектов местного значения для населения города Тобольска.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2. Для целей настоящих Местных нормативов используются следующие понятия: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расчетный показатель - количественная характеристика, отражающая уровень обеспеченности населения города Тобольска объектами местного значения и территориальной доступности таких объектов для населения.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обеспеченность объектами местного значения - показатель, устанавливающий количество и (или) мощность и (или) площадь объектов местного значения в зависимости от численности населения.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территориальная доступность объектов местного значения - показатель территориальной или временной удаленности места расположения объекта местного значения от места постоянного или преимущественного проживания граждан на территории города Тобольска.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объект хранения автомототранспорта - объект местного значения, предназначенный для стоянки и (или) постоянного, временного хранения автомототранспортных средств (в том числе автостоянки, </w:t>
      </w:r>
      <w:proofErr w:type="spellStart"/>
      <w:r>
        <w:t>машино</w:t>
      </w:r>
      <w:proofErr w:type="spellEnd"/>
      <w:r>
        <w:t>-места на автостоянках).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автостоянка - элемент обустройства автомобильных дорог, ограниченный красными линиями, или специально оборудованное сооружение (часть здания, сооружения), или открытая площадка, предназначенные для стоянки и/или хранения автомототранспортных средств.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временная автостоянка - автостоянка, не предназначенная для хранения автомототранспортных средств, расположенная на земельном участке, прилегающем к территории общего пользования, объектам обслуживания.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гостевая автостоянка - автостоянка, не предназначенная для хранения автомототранспортных средств, расположенная на земельном участке, предназначенном для размещения объектов многоэтажной жилой застройки.</w:t>
      </w:r>
    </w:p>
    <w:p w:rsidR="00073A78" w:rsidRDefault="00073A78">
      <w:pPr>
        <w:pStyle w:val="ConsPlusNormal"/>
        <w:spacing w:before="220"/>
        <w:ind w:firstLine="540"/>
        <w:jc w:val="both"/>
      </w:pPr>
      <w:proofErr w:type="spellStart"/>
      <w:r>
        <w:t>машино</w:t>
      </w:r>
      <w:proofErr w:type="spellEnd"/>
      <w:r>
        <w:t>-место - территория, предназначенная для размещения одного автомототранспортного средства на автостоянке.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объекты обслуживания - объекты социально-культурной, бытовой, торговой сферы </w:t>
      </w:r>
      <w:r>
        <w:lastRenderedPageBreak/>
        <w:t>деятельности, в том числе объекты спортивного, образовательного, медицинского, бытового, торгового обслуживания населения.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элемент планировочной структуры - часть территории города Тобольска, выделенная в проекте планировки территории (в том числе жилой район, микрорайон, квартал, общегородской, специализированный центр, зона массового отдыха населения, улица, дорога, иная территория).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Иные понятия, используемые в настоящих Местных нормативах, применяются в тех же значениях, что и в нормативных правовых актах Российской Федерации, Тюменской области, муниципальных правовых актах города Тобольска.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3. Применяемые на территории города Тобольска расчетные показатели минимально допустимого уровня обеспеченности объектами местного значения города Тобольска и максимально допустимого уровня территориальной доступности таких объектов с обоснованием указанных расчетных показателей соответствуют установленным в Региональных </w:t>
      </w:r>
      <w:hyperlink r:id="rId9" w:history="1">
        <w:r>
          <w:rPr>
            <w:color w:val="0000FF"/>
          </w:rPr>
          <w:t>нормативах</w:t>
        </w:r>
      </w:hyperlink>
      <w:r>
        <w:t xml:space="preserve"> градостроительного проектирования в Тюменской области, за исключением расчетных показателей в области хранения автомототранспорта, указанных в </w:t>
      </w:r>
      <w:hyperlink w:anchor="P56" w:history="1">
        <w:r>
          <w:rPr>
            <w:color w:val="0000FF"/>
          </w:rPr>
          <w:t>пункте 4</w:t>
        </w:r>
      </w:hyperlink>
      <w:r>
        <w:t xml:space="preserve"> настоящих Местных нормативов.</w:t>
      </w:r>
    </w:p>
    <w:p w:rsidR="00073A78" w:rsidRDefault="00073A78">
      <w:pPr>
        <w:pStyle w:val="ConsPlusNormal"/>
        <w:spacing w:before="220"/>
        <w:ind w:firstLine="540"/>
        <w:jc w:val="both"/>
      </w:pPr>
      <w:bookmarkStart w:id="2" w:name="P56"/>
      <w:bookmarkEnd w:id="2"/>
      <w:r>
        <w:t>4. Расчетные показатели минимально допустимого уровня обеспеченности объектами хранения автомототранспорта на территории города Тобольска и максимально допустимого уровня территориальной доступности таких объектов для населения:</w:t>
      </w:r>
    </w:p>
    <w:p w:rsidR="00073A78" w:rsidRDefault="00073A78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а) расчетные показатели минимально допустимого уровня обеспеченности элементов планировочной структуры </w:t>
      </w:r>
      <w:proofErr w:type="spellStart"/>
      <w:r>
        <w:t>машино</w:t>
      </w:r>
      <w:proofErr w:type="spellEnd"/>
      <w:r>
        <w:t>-местами установлены в размере 440 автомототранспортных средств на 1000 жителей города Тобольска.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Максимально допустимый уровень территориальной доступности </w:t>
      </w:r>
      <w:proofErr w:type="spellStart"/>
      <w:r>
        <w:t>машино</w:t>
      </w:r>
      <w:proofErr w:type="spellEnd"/>
      <w:r>
        <w:t>-мест для постоянного хранения автомототранспорта составляет не более 500 метров от зон планируемого размещения объектов федерального значения, объектов регионального значения, объектов местного значения, зон планируемого размещения объектов социально-культурного и коммунально-бытового назначения, иных объектов капитального строительства.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Максимально допустимый уровень территориальной доступности </w:t>
      </w:r>
      <w:proofErr w:type="spellStart"/>
      <w:r>
        <w:t>машино</w:t>
      </w:r>
      <w:proofErr w:type="spellEnd"/>
      <w:r>
        <w:t>-мест на гостевых и (или) временных автостоянках обеспечивается в пределах земельного участка, предназначенного для размещения объекта капитального строительства.</w:t>
      </w:r>
    </w:p>
    <w:p w:rsidR="00073A78" w:rsidRDefault="00073A78">
      <w:pPr>
        <w:pStyle w:val="ConsPlusNormal"/>
        <w:spacing w:before="220"/>
        <w:ind w:firstLine="540"/>
        <w:jc w:val="both"/>
      </w:pPr>
      <w:bookmarkStart w:id="4" w:name="P60"/>
      <w:bookmarkEnd w:id="4"/>
      <w:r>
        <w:t xml:space="preserve">б) расчетные показатели обеспеченности объектов многоэтажной жилой застройки на территории города Тобольска </w:t>
      </w:r>
      <w:proofErr w:type="spellStart"/>
      <w:r>
        <w:t>машино</w:t>
      </w:r>
      <w:proofErr w:type="spellEnd"/>
      <w:r>
        <w:t>-местами на автостоянках для постоянного хранения автомототранспортных средств определяются с учетом количества квартир и общей площади квартиры, приходящейся на 1 проживающего, по следующей формуле: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center"/>
      </w:pPr>
      <w:r>
        <w:t xml:space="preserve">Количество </w:t>
      </w:r>
      <w:proofErr w:type="spellStart"/>
      <w:r>
        <w:t>машино</w:t>
      </w:r>
      <w:proofErr w:type="spellEnd"/>
      <w:r>
        <w:t>-мест = А + 1,7 x Б + 2 x В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ind w:firstLine="540"/>
        <w:jc w:val="both"/>
      </w:pPr>
      <w:r>
        <w:t>где: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А - количество квартир с D до 30 м</w:t>
      </w:r>
      <w:r>
        <w:rPr>
          <w:vertAlign w:val="superscript"/>
        </w:rPr>
        <w:t>2</w:t>
      </w:r>
      <w:r>
        <w:t xml:space="preserve"> включительно (массовое);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Б - количество квартир с D свыше 30 до 40 м</w:t>
      </w:r>
      <w:r>
        <w:rPr>
          <w:vertAlign w:val="superscript"/>
        </w:rPr>
        <w:t>2</w:t>
      </w:r>
      <w:r>
        <w:t xml:space="preserve"> включительно (комфортное);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В - количество квартир с D свыше 40 м</w:t>
      </w:r>
      <w:r>
        <w:rPr>
          <w:vertAlign w:val="superscript"/>
        </w:rPr>
        <w:t>2</w:t>
      </w:r>
      <w:r>
        <w:t xml:space="preserve"> (</w:t>
      </w:r>
      <w:proofErr w:type="spellStart"/>
      <w:r>
        <w:t>высококомфортное</w:t>
      </w:r>
      <w:proofErr w:type="spellEnd"/>
      <w:r>
        <w:t>);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Для подсчета количества </w:t>
      </w:r>
      <w:proofErr w:type="spellStart"/>
      <w:r>
        <w:t>машино</w:t>
      </w:r>
      <w:proofErr w:type="spellEnd"/>
      <w:r>
        <w:t>-мест принимается: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D до 30 м</w:t>
      </w:r>
      <w:r>
        <w:rPr>
          <w:vertAlign w:val="superscript"/>
        </w:rPr>
        <w:t>2</w:t>
      </w:r>
      <w:r>
        <w:t xml:space="preserve"> включительно - 1 </w:t>
      </w:r>
      <w:proofErr w:type="spellStart"/>
      <w:r>
        <w:t>машино</w:t>
      </w:r>
      <w:proofErr w:type="spellEnd"/>
      <w:r>
        <w:t>-место;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lastRenderedPageBreak/>
        <w:t>D свыше 30 до 40 м</w:t>
      </w:r>
      <w:r>
        <w:rPr>
          <w:vertAlign w:val="superscript"/>
        </w:rPr>
        <w:t>2</w:t>
      </w:r>
      <w:r>
        <w:t xml:space="preserve"> включительно - 1,7 </w:t>
      </w:r>
      <w:proofErr w:type="spellStart"/>
      <w:r>
        <w:t>машино</w:t>
      </w:r>
      <w:proofErr w:type="spellEnd"/>
      <w:r>
        <w:t>-места;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D свыше 40 м</w:t>
      </w:r>
      <w:r>
        <w:rPr>
          <w:vertAlign w:val="superscript"/>
        </w:rPr>
        <w:t>2</w:t>
      </w:r>
      <w:r>
        <w:t xml:space="preserve"> - 2 </w:t>
      </w:r>
      <w:proofErr w:type="spellStart"/>
      <w:r>
        <w:t>машино</w:t>
      </w:r>
      <w:proofErr w:type="spellEnd"/>
      <w:r>
        <w:t>-места.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Общая площадь квартиры, приходящаяся на 1 проживающего, рассчитывается по формуле: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center"/>
      </w:pPr>
      <w:r>
        <w:t>D = S / N,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ind w:firstLine="540"/>
        <w:jc w:val="both"/>
      </w:pPr>
      <w:r>
        <w:t>где: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D - общая площадь квартиры, приходящаяся на 1 проживающего;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S - общая площадь квартиры;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N - количество жилых комнат в квартире.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Максимально допустимый уровень территориальной доступности </w:t>
      </w:r>
      <w:proofErr w:type="spellStart"/>
      <w:r>
        <w:t>машино</w:t>
      </w:r>
      <w:proofErr w:type="spellEnd"/>
      <w:r>
        <w:t>-мест для постоянного хранения автомототранспортных средств для объектов многоэтажной жилой застройки составляет не более 500 метров от объектов многоэтажной жилой застройки.</w:t>
      </w:r>
    </w:p>
    <w:p w:rsidR="00073A78" w:rsidRDefault="00073A78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в) расчетные показатели минимально допустимого уровня обеспеченности объектов многоэтажной жилой застройки на территории города Тобольска </w:t>
      </w:r>
      <w:proofErr w:type="spellStart"/>
      <w:r>
        <w:t>машино</w:t>
      </w:r>
      <w:proofErr w:type="spellEnd"/>
      <w:r>
        <w:t xml:space="preserve">-местами на гостевых и временных автостоянках определяются в размере 25% от количества </w:t>
      </w:r>
      <w:proofErr w:type="spellStart"/>
      <w:r>
        <w:t>машино</w:t>
      </w:r>
      <w:proofErr w:type="spellEnd"/>
      <w:r>
        <w:t xml:space="preserve">-мест на автостоянках для постоянного хранения автомототранспортных средств (но не менее показателей, установленных в </w:t>
      </w:r>
      <w:hyperlink r:id="rId10" w:history="1">
        <w:r>
          <w:rPr>
            <w:color w:val="0000FF"/>
          </w:rPr>
          <w:t>таблице 6 пункта 7.2.19</w:t>
        </w:r>
      </w:hyperlink>
      <w:r>
        <w:t xml:space="preserve"> Региональных нормативов градостроительного проектирования в Тюменской области). При обеспечении объектов многоэтажной жилой застройки </w:t>
      </w:r>
      <w:proofErr w:type="spellStart"/>
      <w:r>
        <w:t>машино</w:t>
      </w:r>
      <w:proofErr w:type="spellEnd"/>
      <w:r>
        <w:t xml:space="preserve">-местами для хранения автомототранспортных средств в размере не менее 40% от расчетного количества допускается уменьшение обеспеченности </w:t>
      </w:r>
      <w:proofErr w:type="spellStart"/>
      <w:r>
        <w:t>машино</w:t>
      </w:r>
      <w:proofErr w:type="spellEnd"/>
      <w:r>
        <w:t>-местами на гостевых автостоянках не более чем на 12,5%.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Максимально допустимый уровень территориальной доступности </w:t>
      </w:r>
      <w:proofErr w:type="spellStart"/>
      <w:r>
        <w:t>машино</w:t>
      </w:r>
      <w:proofErr w:type="spellEnd"/>
      <w:r>
        <w:t>-мест на гостевых и временных автостоянках обеспечивается в границах земельного участка, предназначенного для размещения объектов многоэтажной жилой застройки.</w:t>
      </w:r>
    </w:p>
    <w:p w:rsidR="00073A78" w:rsidRDefault="00073A78">
      <w:pPr>
        <w:pStyle w:val="ConsPlusNormal"/>
        <w:spacing w:before="220"/>
        <w:ind w:firstLine="540"/>
        <w:jc w:val="both"/>
      </w:pPr>
      <w:bookmarkStart w:id="6" w:name="P83"/>
      <w:bookmarkEnd w:id="6"/>
      <w:r>
        <w:t>г) расчетные показатели минимально допустимого уровня обеспеченности объектов обслуживания на территории города Тобольска объектами хранения автомототранспорта (</w:t>
      </w:r>
      <w:proofErr w:type="spellStart"/>
      <w:r>
        <w:t>машино</w:t>
      </w:r>
      <w:proofErr w:type="spellEnd"/>
      <w:r>
        <w:t xml:space="preserve">-местами на временных автостоянках) установлены в </w:t>
      </w:r>
      <w:hyperlink w:anchor="P102" w:history="1">
        <w:r>
          <w:rPr>
            <w:color w:val="0000FF"/>
          </w:rPr>
          <w:t>таблице 1</w:t>
        </w:r>
      </w:hyperlink>
      <w:r>
        <w:t>. Максимально допустимый уровень территориальной доступности временных автостоянок составляет не более 150 метров от входа в объекты обслуживания.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5. Обоснование расчетных показателей минимально допустимого уровня обеспеченности объектами хранения автомототранспорта на территории города Тобольска и максимально допустимого уровня территориальной доступности таких объектов для населения - расчетные показатели установлены с учетом: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социально-демографического состава и плотности населения города Тобольска;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муниципальных программ города Тобольска;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плотности улично-дорожной сети города Тобольска;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уровня развития общественного транспорта города Тобольска и расчетного уровня автомобилизации не менее 440 автомототранспортных средств на 1000 жителей города Тобольска.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6. Правила и область применения расчетных показателей: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а) указанных в </w:t>
      </w:r>
      <w:hyperlink w:anchor="P57" w:history="1">
        <w:r>
          <w:rPr>
            <w:color w:val="0000FF"/>
          </w:rPr>
          <w:t>подпункте "а" пункта 4</w:t>
        </w:r>
      </w:hyperlink>
      <w:r>
        <w:t xml:space="preserve"> настоящих Местных нормативов: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lastRenderedPageBreak/>
        <w:t>обеспечение территории жилых зон автостоянками для постоянного хранения автомототранспорта и гостевыми автостоянками осуществляется в размере 100% от расчетного количества;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обеспечение иных элементов планировочной структуры временными автостоянками осуществляется в размере 100% расчетного количества, в том числе общегородских и специализированных центров, зон массового отдыха населения, улично-дорожной сети, граничащей с кварталами, микрорайонами (при этом поперечный профиль улиц и дорог увеличивается на ширину объекта хранения автомототранспорта);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б) указанных в </w:t>
      </w:r>
      <w:hyperlink w:anchor="P60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81" w:history="1">
        <w:r>
          <w:rPr>
            <w:color w:val="0000FF"/>
          </w:rPr>
          <w:t>"в"</w:t>
        </w:r>
      </w:hyperlink>
      <w:r>
        <w:t xml:space="preserve"> и </w:t>
      </w:r>
      <w:hyperlink w:anchor="P83" w:history="1">
        <w:r>
          <w:rPr>
            <w:color w:val="0000FF"/>
          </w:rPr>
          <w:t>"г" пункта 4</w:t>
        </w:r>
      </w:hyperlink>
      <w:r>
        <w:t xml:space="preserve"> настоящих Местных нормативов: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расчетные показатели минимально допустимого уровня обеспеченности </w:t>
      </w:r>
      <w:proofErr w:type="spellStart"/>
      <w:r>
        <w:t>машино</w:t>
      </w:r>
      <w:proofErr w:type="spellEnd"/>
      <w:r>
        <w:t xml:space="preserve">-местами объектов многоэтажной жилой застройки со встроенными объектами обслуживания рассчитываются как сумма </w:t>
      </w:r>
      <w:proofErr w:type="spellStart"/>
      <w:r>
        <w:t>машино</w:t>
      </w:r>
      <w:proofErr w:type="spellEnd"/>
      <w:r>
        <w:t xml:space="preserve">-мест для постоянного хранения, </w:t>
      </w:r>
      <w:proofErr w:type="spellStart"/>
      <w:r>
        <w:t>машино</w:t>
      </w:r>
      <w:proofErr w:type="spellEnd"/>
      <w:r>
        <w:t xml:space="preserve">-мест на гостевых автостоянках и </w:t>
      </w:r>
      <w:proofErr w:type="spellStart"/>
      <w:r>
        <w:t>машино</w:t>
      </w:r>
      <w:proofErr w:type="spellEnd"/>
      <w:r>
        <w:t>-мест на временных автостоянках для встроенных объектов обслуживания;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расчетные показатели обеспеченности объектов многоэтажной жилой застройки </w:t>
      </w:r>
      <w:proofErr w:type="spellStart"/>
      <w:r>
        <w:t>машино</w:t>
      </w:r>
      <w:proofErr w:type="spellEnd"/>
      <w:r>
        <w:t>-местами для постоянного хранения автомототранспорта обеспечиваются в границах жилого района - не менее 50% от расчетного количества, остальные 50% размещаются в пределах максимальной территориальной доступности не более 500 метров от объектов многоэтажной жилой застройки;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обеспечение временными, гостевыми автостоянками объектов капитального строительства на территории города Тобольска осуществляется правообладателем земельного участка в пределах предоставленного земельного участка. При отсутствии необходимой территории для организации временных и гостевых автостоянок предусматриваются встроенные или пристроенные временные автостоянки, в том числе подземные, полуподземные. Использование для указанных целей улично-дорожной сети не допускается;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 xml:space="preserve">въезды-выезды из автостоянок вместимостью свыше 100 </w:t>
      </w:r>
      <w:proofErr w:type="spellStart"/>
      <w:r>
        <w:t>машино</w:t>
      </w:r>
      <w:proofErr w:type="spellEnd"/>
      <w:r>
        <w:t xml:space="preserve">-мест, расположенных не в границах улично-дорожной сети города Тобольска, организовываются на улично-дорожную сеть города Тобольска, исключая организацию движения автомототранспорта по </w:t>
      </w:r>
      <w:proofErr w:type="spellStart"/>
      <w:r>
        <w:t>внутридворовым</w:t>
      </w:r>
      <w:proofErr w:type="spellEnd"/>
      <w:r>
        <w:t xml:space="preserve"> проездам, парковым дорогам и велосипедным дорожкам, пересечение пешеходных путей. Указанные въезды-выезды должны быть изолированы от площадок для отдыха, игровых и спортивных площадок.</w:t>
      </w:r>
    </w:p>
    <w:p w:rsidR="00073A78" w:rsidRDefault="00073A78">
      <w:pPr>
        <w:pStyle w:val="ConsPlusNormal"/>
        <w:spacing w:before="220"/>
        <w:ind w:firstLine="540"/>
        <w:jc w:val="both"/>
      </w:pPr>
      <w:r>
        <w:t>7. Местные нормативы обязательны для всех субъектов градостроительных отношений, осуществляющих градостроительную деятельность на территории города Тобольска.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right"/>
        <w:outlineLvl w:val="1"/>
      </w:pPr>
      <w:r>
        <w:t>Таблица 1</w:t>
      </w: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center"/>
      </w:pPr>
      <w:bookmarkStart w:id="7" w:name="P102"/>
      <w:bookmarkEnd w:id="7"/>
      <w:r>
        <w:t>Расчетные показатели</w:t>
      </w:r>
    </w:p>
    <w:p w:rsidR="00073A78" w:rsidRDefault="00073A78">
      <w:pPr>
        <w:pStyle w:val="ConsPlusNormal"/>
        <w:jc w:val="center"/>
      </w:pPr>
      <w:r>
        <w:t>обеспеченности объектов обслуживания на территории города</w:t>
      </w:r>
    </w:p>
    <w:p w:rsidR="00073A78" w:rsidRDefault="00073A78">
      <w:pPr>
        <w:pStyle w:val="ConsPlusNormal"/>
        <w:jc w:val="center"/>
      </w:pPr>
      <w:r>
        <w:t>Тобольска объектами хранения автомототранспорта</w:t>
      </w:r>
    </w:p>
    <w:p w:rsidR="00073A78" w:rsidRDefault="00073A78">
      <w:pPr>
        <w:pStyle w:val="ConsPlusNormal"/>
        <w:jc w:val="center"/>
      </w:pPr>
      <w:r>
        <w:t>(</w:t>
      </w:r>
      <w:proofErr w:type="spellStart"/>
      <w:r>
        <w:t>машино</w:t>
      </w:r>
      <w:proofErr w:type="spellEnd"/>
      <w:r>
        <w:t>-местами на временных автостоянках)</w:t>
      </w:r>
    </w:p>
    <w:p w:rsidR="00073A78" w:rsidRDefault="00073A78">
      <w:pPr>
        <w:pStyle w:val="ConsPlusNormal"/>
        <w:jc w:val="both"/>
      </w:pPr>
    </w:p>
    <w:p w:rsidR="00073A78" w:rsidRDefault="00073A78">
      <w:pPr>
        <w:sectPr w:rsidR="00073A78" w:rsidSect="008720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1928"/>
        <w:gridCol w:w="1928"/>
      </w:tblGrid>
      <w:tr w:rsidR="00073A78">
        <w:tc>
          <w:tcPr>
            <w:tcW w:w="5783" w:type="dxa"/>
          </w:tcPr>
          <w:p w:rsidR="00073A78" w:rsidRDefault="00073A78">
            <w:pPr>
              <w:pStyle w:val="ConsPlusNormal"/>
              <w:jc w:val="center"/>
            </w:pPr>
            <w:r>
              <w:lastRenderedPageBreak/>
              <w:t>Объект обслуживания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 xml:space="preserve">Показатели обеспеченности </w:t>
            </w:r>
            <w:proofErr w:type="spellStart"/>
            <w:r>
              <w:t>машино</w:t>
            </w:r>
            <w:proofErr w:type="spellEnd"/>
            <w:r>
              <w:t>-местами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Объекты дошкольного образования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15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Объекты начального общего, основного общего и среднего общего образования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15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Поликлиники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посещений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Больницы, профилактории, реабилитационные центры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коек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14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Интернаты и пансионаты для престарелых и инвалидов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30 коек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 xml:space="preserve">1, но не менее 12 </w:t>
            </w:r>
            <w:proofErr w:type="spellStart"/>
            <w:r>
              <w:t>машино</w:t>
            </w:r>
            <w:proofErr w:type="spellEnd"/>
            <w:r>
              <w:t>-мест на объект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Научно-исследовательские и проектные институты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общей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5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Образовательные организации высшего образования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Преподаватели, сотрудники, студенты, занятые в одну смену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 xml:space="preserve">5 </w:t>
            </w:r>
            <w:proofErr w:type="spellStart"/>
            <w:r>
              <w:t>машино</w:t>
            </w:r>
            <w:proofErr w:type="spellEnd"/>
            <w:r>
              <w:t>-мест на 3 преподавателя (сотрудника) и 10 студентов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Профессиональные образовательные организации, организации дополнительного образования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Преподаватели, сотрудники, учащиеся, занятые в одну смену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 xml:space="preserve">5 </w:t>
            </w:r>
            <w:proofErr w:type="spellStart"/>
            <w:r>
              <w:t>машино</w:t>
            </w:r>
            <w:proofErr w:type="spellEnd"/>
            <w:r>
              <w:t>-места на 3 преподавателя (сотрудника) и 10 учащихся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Центры обучения, самодеятельного творчества, клубы по интересам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общей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5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Производственные здания и коммунально-складские объекты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Работающие в двух смежных сменах, 8 чел.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Магазины розничной торговли, встроенные в жилые дома, торговой площадью до 200 кв. м.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торговой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5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Магазины розничной торговли, встроенные в жилые дома, торговой площадью более 200 кв. м.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торговой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Отдельно стоящие объекты торгового назначения с широким ассортиментом товаров (торговые центры, торговые комплексы, супермаркеты, универсамы, универмаги и т.д.)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торговой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Рынки универсальные и непродовольственные, рынки продовольственные и сельскохозяйственные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50 торговых мест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25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Объекты управления, кредитно-финансовые, суды, общественные организации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работающих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40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Банки и банковские объекты: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</w:pPr>
          </w:p>
        </w:tc>
        <w:tc>
          <w:tcPr>
            <w:tcW w:w="1928" w:type="dxa"/>
          </w:tcPr>
          <w:p w:rsidR="00073A78" w:rsidRDefault="00073A78">
            <w:pPr>
              <w:pStyle w:val="ConsPlusNormal"/>
            </w:pP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lastRenderedPageBreak/>
              <w:t>с операционными залами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общей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6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без операционных залов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общей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5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Офисы специализированных фирм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30 м</w:t>
            </w:r>
            <w:r>
              <w:rPr>
                <w:vertAlign w:val="superscript"/>
              </w:rPr>
              <w:t>2</w:t>
            </w:r>
            <w:r>
              <w:t xml:space="preserve"> общей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Нотариальные конторы, юридические консультации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 сотрудник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Рестораны, кафе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посадочных мест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Бани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4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Пункты приема химчисток, прачечных, ремонтных мастерских, специализированные центры по обслуживанию бытовой техники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 рабочих места приемщика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Салоны ритуальных услуг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30 м</w:t>
            </w:r>
            <w:r>
              <w:rPr>
                <w:vertAlign w:val="superscript"/>
              </w:rPr>
              <w:t>2</w:t>
            </w:r>
            <w:r>
              <w:t xml:space="preserve"> общей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Кладбища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5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 xml:space="preserve">1, но не менее 60 </w:t>
            </w:r>
            <w:proofErr w:type="spellStart"/>
            <w:r>
              <w:t>машино</w:t>
            </w:r>
            <w:proofErr w:type="spellEnd"/>
            <w:r>
              <w:t>-мест на объект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Крематории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5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 xml:space="preserve">1, но не менее 12 </w:t>
            </w:r>
            <w:proofErr w:type="spellStart"/>
            <w:r>
              <w:t>машино</w:t>
            </w:r>
            <w:proofErr w:type="spellEnd"/>
            <w:r>
              <w:t>-мест на 1 ритуальный зал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Ателье, салоны-парикмахерские, салоны красоты, солярии, салоны мод, свадебные салоны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общей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6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Химчистки, прачечные, ремонтные мастерские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 работающих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Развлекательные центры, дискотеки, ночные клубы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общей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25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Музеи, галереи, выставочные залы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Театры, концертные залы, киноцентры, кинотеатры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зрительных мест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Городские библиотеки, интернет-кафе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Культовые сооружения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50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 xml:space="preserve">10, но не менее 12 </w:t>
            </w:r>
            <w:proofErr w:type="spellStart"/>
            <w:r>
              <w:t>машино</w:t>
            </w:r>
            <w:proofErr w:type="spellEnd"/>
            <w:r>
              <w:t>-мест на объект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lastRenderedPageBreak/>
              <w:t>Спортивные комплексы и стадионы с трибунами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30 мест на трибунах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7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Специализированные спортивные клубы и комплексы (теннис, конный спорт, горные лыжи)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 xml:space="preserve">2, но не менее 12 </w:t>
            </w:r>
            <w:proofErr w:type="spellStart"/>
            <w:r>
              <w:t>машино</w:t>
            </w:r>
            <w:proofErr w:type="spellEnd"/>
            <w:r>
              <w:t>-мест на объект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Аквапарки, бассейны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 xml:space="preserve">3, но не менее 12 </w:t>
            </w:r>
            <w:proofErr w:type="spellStart"/>
            <w:r>
              <w:t>машино</w:t>
            </w:r>
            <w:proofErr w:type="spellEnd"/>
            <w:r>
              <w:t>-мест на объект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Бильярдные, кегельбаны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общей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9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Оздоровительные комплексы (фитнес-клубы, спортивные и тренажерные залы)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общей площади объекта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5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Сады, скверы жилых районов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12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Общегородские парки, парки планировочных районов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18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Пляжи и парки в зонах отдыха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36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Лесопарки и заповедники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Базы кратковременного отдыха (спортивные, лыжные, рыболовные и др.)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40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отдыхающих и обслуживающего персонала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Мотели и кемпинги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отдыхающих и обслуживающего персонала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По расчетной вместимости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отдыхающих и обслуживающего персонала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Предприятия торговли и коммунально-бытового обслуживания в садоводческих товариществах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 единовременных посетителей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8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Садоводческие, огороднические, дачные объединения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 участков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Гостиницы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мест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28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lastRenderedPageBreak/>
              <w:t>Железнодорожные вокзалы, автовокзалы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100 пассажиров дальнего следования в час "пик"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30</w:t>
            </w:r>
          </w:p>
        </w:tc>
      </w:tr>
      <w:tr w:rsidR="00073A78">
        <w:tc>
          <w:tcPr>
            <w:tcW w:w="5783" w:type="dxa"/>
          </w:tcPr>
          <w:p w:rsidR="00073A78" w:rsidRDefault="00073A78">
            <w:pPr>
              <w:pStyle w:val="ConsPlusNormal"/>
            </w:pPr>
            <w:r>
              <w:t>Аэровокзалы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6 пассажиров дальнего следования в час "пик"</w:t>
            </w:r>
          </w:p>
        </w:tc>
        <w:tc>
          <w:tcPr>
            <w:tcW w:w="1928" w:type="dxa"/>
          </w:tcPr>
          <w:p w:rsidR="00073A78" w:rsidRDefault="00073A78">
            <w:pPr>
              <w:pStyle w:val="ConsPlusNormal"/>
              <w:jc w:val="center"/>
            </w:pPr>
            <w:r>
              <w:t>3</w:t>
            </w:r>
          </w:p>
        </w:tc>
      </w:tr>
      <w:tr w:rsidR="00073A78">
        <w:tc>
          <w:tcPr>
            <w:tcW w:w="9639" w:type="dxa"/>
            <w:gridSpan w:val="3"/>
          </w:tcPr>
          <w:p w:rsidR="00073A78" w:rsidRDefault="00073A78">
            <w:pPr>
              <w:pStyle w:val="ConsPlusNormal"/>
              <w:ind w:firstLine="283"/>
              <w:jc w:val="both"/>
            </w:pPr>
            <w:r>
              <w:t>Примечания:</w:t>
            </w:r>
          </w:p>
          <w:p w:rsidR="00073A78" w:rsidRDefault="00073A78">
            <w:pPr>
              <w:pStyle w:val="ConsPlusNormal"/>
              <w:ind w:firstLine="283"/>
              <w:jc w:val="both"/>
            </w:pPr>
            <w:r>
              <w:t xml:space="preserve">1. В отношении объектов, не указанных в настоящей таблице, расчетные показатели обеспеченности </w:t>
            </w:r>
            <w:proofErr w:type="spellStart"/>
            <w:r>
              <w:t>машино</w:t>
            </w:r>
            <w:proofErr w:type="spellEnd"/>
            <w:r>
              <w:t>-местами установлены действующим законодательством.</w:t>
            </w:r>
          </w:p>
          <w:p w:rsidR="00073A78" w:rsidRDefault="00073A78">
            <w:pPr>
              <w:pStyle w:val="ConsPlusNormal"/>
              <w:ind w:firstLine="283"/>
              <w:jc w:val="both"/>
            </w:pPr>
            <w:r>
              <w:t xml:space="preserve">2. Временные автостоянки размещаются вне территории объектов дошкольного, начального общего и среднего (полного) общего образования на нормативном расстоянии от границ земельного участка в соответствии с требованиями действующего законодательства, исходя из количества </w:t>
            </w:r>
            <w:proofErr w:type="spellStart"/>
            <w:r>
              <w:t>машино</w:t>
            </w:r>
            <w:proofErr w:type="spellEnd"/>
            <w:r>
              <w:t>-мест.</w:t>
            </w:r>
          </w:p>
        </w:tc>
      </w:tr>
    </w:tbl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jc w:val="both"/>
      </w:pPr>
    </w:p>
    <w:p w:rsidR="00073A78" w:rsidRDefault="00073A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4FAB" w:rsidRDefault="00E74FAB"/>
    <w:sectPr w:rsidR="00E74FAB" w:rsidSect="00073A7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78"/>
    <w:rsid w:val="00073A78"/>
    <w:rsid w:val="00E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06189-2DBC-42FD-B03C-51F556F5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8BEFFDD4DB57B2036634F5B707908DBB9C34F869F4A61FB1AA5BCB4588994A4787B983027E9EA7E99B90962F65ACAF50609277C5E5A8AS5I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B8BEFFDD4DB57B20367D424D1C2707DEB19D4A829B4337A44CA3EBEB088FC1E4387DCD7362ECE87993EE5C21A8039AB34D042E60425A834E23756DS8I9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B8BEFFDD4DB57B20367D424D1C2707DEB19D4A829B4337A44CA3EBEB088FC1E4387DCD7362ECE87992EF5D21A8039AB34D042E60425A834E23756DS8I9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AB8BEFFDD4DB57B2036634F5B707908DBB9C346879A4A61FB1AA5BCB4588994A4787B9F3120EABD28D6B85527A149CBFF060B2F63S5I5E" TargetMode="External"/><Relationship Id="rId10" Type="http://schemas.openxmlformats.org/officeDocument/2006/relationships/hyperlink" Target="consultantplus://offline/ref=DAB8BEFFDD4DB57B20367D424D1C2707DEB19D4A829D4637A749A3EBEB088FC1E4387DCD7362ECE87996EB512FA8039AB34D042E60425A834E23756DS8I9E" TargetMode="External"/><Relationship Id="rId4" Type="http://schemas.openxmlformats.org/officeDocument/2006/relationships/hyperlink" Target="consultantplus://offline/ref=DAB8BEFFDD4DB57B2036634F5B707908DBB9C34F869F4A61FB1AA5BCB4588994A4787B983027E9EC7E99B90962F65ACAF50609277C5E5A8AS5I9E" TargetMode="External"/><Relationship Id="rId9" Type="http://schemas.openxmlformats.org/officeDocument/2006/relationships/hyperlink" Target="consultantplus://offline/ref=DAB8BEFFDD4DB57B20367D424D1C2707DEB19D4A829D4637A749A3EBEB088FC1E4387DCD7362ECE87996EB512FA8039AB34D042E60425A834E23756DS8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2019-08-12T04:08:00Z</dcterms:created>
  <dcterms:modified xsi:type="dcterms:W3CDTF">2019-08-12T04:09:00Z</dcterms:modified>
</cp:coreProperties>
</file>